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16A1" w14:textId="77777777" w:rsidR="00D661F2" w:rsidRPr="00D661F2" w:rsidRDefault="00D661F2" w:rsidP="00D661F2">
      <w:pPr>
        <w:pStyle w:val="Default"/>
        <w:jc w:val="center"/>
        <w:rPr>
          <w:rFonts w:hAnsi="ＭＳ 明朝"/>
          <w:sz w:val="21"/>
          <w:szCs w:val="21"/>
        </w:rPr>
      </w:pPr>
      <w:r w:rsidRPr="00D661F2">
        <w:rPr>
          <w:rFonts w:hAnsi="ＭＳ 明朝" w:hint="eastAsia"/>
          <w:sz w:val="21"/>
          <w:szCs w:val="21"/>
        </w:rPr>
        <w:t>連結財務書類に係る注記</w:t>
      </w:r>
    </w:p>
    <w:p w14:paraId="2AD1D51D" w14:textId="77777777" w:rsidR="00D661F2" w:rsidRPr="00D661F2" w:rsidRDefault="00D661F2" w:rsidP="00D661F2">
      <w:pPr>
        <w:pStyle w:val="Default"/>
        <w:rPr>
          <w:rFonts w:hAnsi="ＭＳ 明朝"/>
          <w:sz w:val="21"/>
          <w:szCs w:val="21"/>
        </w:rPr>
      </w:pPr>
    </w:p>
    <w:p w14:paraId="4EE97CF8"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１．重要な会計方針</w:t>
      </w:r>
    </w:p>
    <w:p w14:paraId="6E6C2236"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（１）有形固定資産等の評価基準及び評価方法</w:t>
      </w:r>
    </w:p>
    <w:p w14:paraId="456975F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79DE6F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連結対象先については、それぞれの会計基準に基づき、有形固定資産等の評価を行っています。</w:t>
      </w:r>
    </w:p>
    <w:p w14:paraId="657B747C" w14:textId="77777777" w:rsidR="00D661F2" w:rsidRPr="00D661F2" w:rsidRDefault="00D661F2" w:rsidP="00D661F2">
      <w:pPr>
        <w:pStyle w:val="Default"/>
        <w:rPr>
          <w:rFonts w:hAnsi="ＭＳ 明朝"/>
          <w:sz w:val="21"/>
          <w:szCs w:val="21"/>
        </w:rPr>
      </w:pPr>
    </w:p>
    <w:p w14:paraId="4C3093C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（２）有価証券等の評価基準及び評価方法</w:t>
      </w:r>
    </w:p>
    <w:p w14:paraId="7EA25E95"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D661F2">
        <w:rPr>
          <w:rFonts w:hAnsi="ＭＳ 明朝" w:cs="Century"/>
          <w:sz w:val="21"/>
          <w:szCs w:val="21"/>
        </w:rPr>
        <w:t>30</w:t>
      </w:r>
      <w:r w:rsidRPr="00D661F2">
        <w:rPr>
          <w:rFonts w:hAnsi="ＭＳ 明朝" w:cs="Century" w:hint="eastAsia"/>
          <w:sz w:val="21"/>
          <w:szCs w:val="21"/>
        </w:rPr>
        <w:t>％</w:t>
      </w:r>
      <w:r w:rsidRPr="00D661F2">
        <w:rPr>
          <w:rFonts w:hAnsi="ＭＳ 明朝" w:hint="eastAsia"/>
          <w:sz w:val="21"/>
          <w:szCs w:val="21"/>
        </w:rPr>
        <w:t>以上である場合には、「著しく低下したとき」に該当するものとしています。</w:t>
      </w:r>
    </w:p>
    <w:p w14:paraId="36136ECB" w14:textId="77777777" w:rsidR="00D661F2" w:rsidRPr="00D661F2" w:rsidRDefault="00D661F2" w:rsidP="00D661F2">
      <w:pPr>
        <w:pStyle w:val="Default"/>
        <w:rPr>
          <w:rFonts w:hAnsi="ＭＳ 明朝"/>
          <w:sz w:val="21"/>
          <w:szCs w:val="21"/>
        </w:rPr>
      </w:pPr>
    </w:p>
    <w:p w14:paraId="228E348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（３）有形固定資産等の減価償却の方法</w:t>
      </w:r>
    </w:p>
    <w:p w14:paraId="44828752"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①有形固定資産（事業用資産、インフラ資産）</w:t>
      </w:r>
    </w:p>
    <w:p w14:paraId="5E8E31E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101E2279"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②無形固定資産</w:t>
      </w:r>
    </w:p>
    <w:p w14:paraId="6F1D3978"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4F32B5AA" w14:textId="77777777" w:rsidR="00D661F2" w:rsidRPr="00D661F2" w:rsidRDefault="00D661F2" w:rsidP="00D661F2">
      <w:pPr>
        <w:pStyle w:val="Default"/>
        <w:rPr>
          <w:rFonts w:hAnsi="ＭＳ 明朝"/>
          <w:sz w:val="21"/>
          <w:szCs w:val="21"/>
        </w:rPr>
      </w:pPr>
    </w:p>
    <w:p w14:paraId="67702B5F"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（４）引当金の計上基準及び算定方法</w:t>
      </w:r>
    </w:p>
    <w:p w14:paraId="553CDBF0"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①徴収不能引当金</w:t>
      </w:r>
    </w:p>
    <w:p w14:paraId="1ACE6CC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過去</w:t>
      </w:r>
      <w:r w:rsidRPr="00D661F2">
        <w:rPr>
          <w:rFonts w:hAnsi="ＭＳ 明朝" w:cs="Century" w:hint="eastAsia"/>
          <w:sz w:val="21"/>
          <w:szCs w:val="21"/>
        </w:rPr>
        <w:t>５</w:t>
      </w:r>
      <w:r w:rsidRPr="00D661F2">
        <w:rPr>
          <w:rFonts w:hAnsi="ＭＳ 明朝" w:hint="eastAsia"/>
          <w:sz w:val="21"/>
          <w:szCs w:val="21"/>
        </w:rPr>
        <w:t>年間の平均不納欠損率により計上しています。</w:t>
      </w:r>
    </w:p>
    <w:p w14:paraId="7C2F683A"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連結対象先については、それぞれの会計基準に基づき計上しております。</w:t>
      </w:r>
    </w:p>
    <w:p w14:paraId="41BE6EC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②賞与引当金</w:t>
      </w:r>
    </w:p>
    <w:p w14:paraId="41ACD648"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翌年度６月支給予定の期末・勤勉手当のうち、全支給対象期間に対する本年度の支給対象期間の割合（</w:t>
      </w:r>
      <w:r w:rsidRPr="00D661F2">
        <w:rPr>
          <w:rFonts w:hAnsi="ＭＳ 明朝" w:cs="Century"/>
          <w:sz w:val="21"/>
          <w:szCs w:val="21"/>
        </w:rPr>
        <w:t>4/6</w:t>
      </w:r>
      <w:r w:rsidRPr="00D661F2">
        <w:rPr>
          <w:rFonts w:hAnsi="ＭＳ 明朝" w:hint="eastAsia"/>
          <w:sz w:val="21"/>
          <w:szCs w:val="21"/>
        </w:rPr>
        <w:t>か月）を乗じた額を計上しております。</w:t>
      </w:r>
    </w:p>
    <w:p w14:paraId="1EA56A0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4AE0D77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③退職給付引当金</w:t>
      </w:r>
    </w:p>
    <w:p w14:paraId="2EB70364"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地方公共団体財政健全化法における退職手当支給額に係る負担見込額算定方法に従っています。</w:t>
      </w:r>
    </w:p>
    <w:p w14:paraId="3E09E347"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1C60ED5E"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lastRenderedPageBreak/>
        <w:t>④損失補償引当金</w:t>
      </w:r>
    </w:p>
    <w:p w14:paraId="4D7EE91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地方公共団体財政健全化法における損失補償債務等に係る一般会計等負担見込額算定方法に従っています。</w:t>
      </w:r>
    </w:p>
    <w:p w14:paraId="18C01AAD" w14:textId="77777777" w:rsidR="00D661F2" w:rsidRPr="00D661F2" w:rsidRDefault="00D661F2" w:rsidP="00D661F2">
      <w:pPr>
        <w:pStyle w:val="Default"/>
        <w:rPr>
          <w:rFonts w:hAnsi="ＭＳ 明朝"/>
          <w:sz w:val="21"/>
          <w:szCs w:val="21"/>
        </w:rPr>
      </w:pPr>
    </w:p>
    <w:p w14:paraId="1CCC2F1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（５）リース取引の処理方法</w:t>
      </w:r>
    </w:p>
    <w:p w14:paraId="60379A29"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0220D0E" w14:textId="77777777" w:rsidR="00D661F2" w:rsidRPr="00D661F2" w:rsidRDefault="00D661F2" w:rsidP="00D661F2">
      <w:pPr>
        <w:pStyle w:val="Default"/>
        <w:rPr>
          <w:rFonts w:hAnsi="ＭＳ 明朝"/>
          <w:sz w:val="21"/>
          <w:szCs w:val="21"/>
        </w:rPr>
      </w:pPr>
    </w:p>
    <w:p w14:paraId="455BBD1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（６）連結資金収支計算書における資金の範囲</w:t>
      </w:r>
    </w:p>
    <w:p w14:paraId="6B71B727"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048C3BEC" w14:textId="77777777" w:rsidR="00D661F2" w:rsidRPr="00D661F2" w:rsidRDefault="00D661F2" w:rsidP="00D661F2">
      <w:pPr>
        <w:pStyle w:val="Default"/>
        <w:rPr>
          <w:rFonts w:hAnsi="ＭＳ 明朝"/>
          <w:sz w:val="21"/>
          <w:szCs w:val="21"/>
        </w:rPr>
      </w:pPr>
    </w:p>
    <w:p w14:paraId="12E37DD1"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（７）採用した消費税等の会計処理</w:t>
      </w:r>
    </w:p>
    <w:p w14:paraId="3C5E6D6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税込方式にて処理しています。連結対象については、それぞれの会計基準に従い、会計処理しています。</w:t>
      </w:r>
    </w:p>
    <w:p w14:paraId="0D98D8C6" w14:textId="77777777" w:rsidR="00D661F2" w:rsidRPr="00D661F2" w:rsidRDefault="00D661F2" w:rsidP="00D661F2">
      <w:pPr>
        <w:pStyle w:val="Default"/>
        <w:rPr>
          <w:rFonts w:hAnsi="ＭＳ 明朝"/>
          <w:sz w:val="21"/>
          <w:szCs w:val="21"/>
        </w:rPr>
      </w:pPr>
    </w:p>
    <w:p w14:paraId="3BC0E62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２．重要な会計方針の変更等</w:t>
      </w:r>
    </w:p>
    <w:p w14:paraId="724AC8F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（１）会計処理の原則</w:t>
      </w:r>
    </w:p>
    <w:p w14:paraId="3A0CF1F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総務省「新地方公会計の推進に関する研究会」報告の「新統一的な基準」に基づく、財務書類の作成を行っています。</w:t>
      </w:r>
    </w:p>
    <w:p w14:paraId="1DAC68BB" w14:textId="77777777" w:rsidR="00D661F2" w:rsidRPr="00D661F2" w:rsidRDefault="00D661F2" w:rsidP="00D661F2">
      <w:pPr>
        <w:pStyle w:val="Default"/>
        <w:rPr>
          <w:rFonts w:hAnsi="ＭＳ 明朝"/>
          <w:sz w:val="21"/>
          <w:szCs w:val="21"/>
        </w:rPr>
      </w:pPr>
    </w:p>
    <w:p w14:paraId="7A3A7E0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３．重要な後発事象</w:t>
      </w:r>
    </w:p>
    <w:p w14:paraId="310210A3"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（１）主要な業務の改廃</w:t>
      </w:r>
    </w:p>
    <w:p w14:paraId="37451050"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F8F9165" w14:textId="77777777" w:rsidR="00D661F2" w:rsidRPr="00D661F2" w:rsidRDefault="00D661F2" w:rsidP="00D661F2">
      <w:pPr>
        <w:pStyle w:val="Default"/>
        <w:rPr>
          <w:rFonts w:hAnsi="ＭＳ 明朝"/>
          <w:sz w:val="21"/>
          <w:szCs w:val="21"/>
        </w:rPr>
      </w:pPr>
    </w:p>
    <w:p w14:paraId="71C9C2B4"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（２）地方財政制度の大幅な改正</w:t>
      </w:r>
    </w:p>
    <w:p w14:paraId="643F6CB3"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7039EBDC" w14:textId="77777777" w:rsidR="00D661F2" w:rsidRPr="007566B8" w:rsidRDefault="00D661F2" w:rsidP="00D661F2">
      <w:pPr>
        <w:pStyle w:val="Default"/>
        <w:rPr>
          <w:rFonts w:hAnsi="ＭＳ 明朝"/>
          <w:sz w:val="21"/>
          <w:szCs w:val="21"/>
        </w:rPr>
      </w:pPr>
    </w:p>
    <w:p w14:paraId="791A592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（３）組織・機構の大幅な変更</w:t>
      </w:r>
    </w:p>
    <w:p w14:paraId="02DAD4F5"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0287FDE" w14:textId="77777777" w:rsidR="00D661F2" w:rsidRPr="00D661F2" w:rsidRDefault="00D661F2" w:rsidP="00D661F2">
      <w:pPr>
        <w:pStyle w:val="Default"/>
        <w:rPr>
          <w:rFonts w:hAnsi="ＭＳ 明朝"/>
          <w:sz w:val="21"/>
          <w:szCs w:val="21"/>
        </w:rPr>
      </w:pPr>
    </w:p>
    <w:p w14:paraId="4CBE185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（４）重大な災害等の発生</w:t>
      </w:r>
    </w:p>
    <w:p w14:paraId="33B9281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143A357" w14:textId="77777777" w:rsidR="00D661F2" w:rsidRPr="00D661F2" w:rsidRDefault="00D661F2" w:rsidP="00D661F2">
      <w:pPr>
        <w:pStyle w:val="Default"/>
        <w:rPr>
          <w:rFonts w:hAnsi="ＭＳ 明朝"/>
          <w:sz w:val="21"/>
          <w:szCs w:val="21"/>
        </w:rPr>
      </w:pPr>
    </w:p>
    <w:p w14:paraId="7ADE2827"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（５）その他重要な後発事象</w:t>
      </w:r>
    </w:p>
    <w:p w14:paraId="37B7616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11212C73" w14:textId="77777777" w:rsidR="00D661F2" w:rsidRPr="00D661F2" w:rsidRDefault="00D661F2" w:rsidP="00D661F2">
      <w:pPr>
        <w:pStyle w:val="Default"/>
        <w:rPr>
          <w:rFonts w:hAnsi="ＭＳ 明朝"/>
          <w:sz w:val="21"/>
          <w:szCs w:val="21"/>
        </w:rPr>
      </w:pPr>
    </w:p>
    <w:p w14:paraId="40B304CE"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４．偶発債務</w:t>
      </w:r>
    </w:p>
    <w:p w14:paraId="2ECC223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（１）保証債務及び損失補償債務負担の状況</w:t>
      </w:r>
    </w:p>
    <w:p w14:paraId="68484C9F"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38B07104" w14:textId="77777777" w:rsidR="00D661F2" w:rsidRPr="00D661F2" w:rsidRDefault="00D661F2" w:rsidP="00D661F2">
      <w:pPr>
        <w:pStyle w:val="Default"/>
        <w:rPr>
          <w:rFonts w:hAnsi="ＭＳ 明朝"/>
          <w:sz w:val="21"/>
          <w:szCs w:val="21"/>
        </w:rPr>
      </w:pPr>
    </w:p>
    <w:p w14:paraId="63EC6697"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（２）係争中の訴訟等で損害賠償等の請求を受けているもの</w:t>
      </w:r>
    </w:p>
    <w:p w14:paraId="7F289B4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53D9C643" w14:textId="77777777" w:rsidR="00D661F2" w:rsidRPr="00D661F2" w:rsidRDefault="00D661F2" w:rsidP="00D661F2">
      <w:pPr>
        <w:pStyle w:val="Default"/>
        <w:rPr>
          <w:rFonts w:hAnsi="ＭＳ 明朝"/>
          <w:sz w:val="21"/>
          <w:szCs w:val="21"/>
        </w:rPr>
      </w:pPr>
    </w:p>
    <w:p w14:paraId="6497DFAA"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（３）その他主要な偶発債務</w:t>
      </w:r>
    </w:p>
    <w:p w14:paraId="316C691B"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708FD50" w14:textId="77777777" w:rsidR="00D661F2" w:rsidRPr="00D661F2" w:rsidRDefault="00D661F2" w:rsidP="00D661F2">
      <w:pPr>
        <w:pStyle w:val="Default"/>
        <w:rPr>
          <w:rFonts w:hAnsi="ＭＳ 明朝"/>
          <w:sz w:val="21"/>
          <w:szCs w:val="21"/>
        </w:rPr>
      </w:pPr>
    </w:p>
    <w:p w14:paraId="1EEAAB0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５．追加情報</w:t>
      </w:r>
    </w:p>
    <w:p w14:paraId="2BAED6A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（１）対象団体（会計）の一覧、連結方法</w:t>
      </w:r>
    </w:p>
    <w:p w14:paraId="6D6E5CB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①一般会計</w:t>
      </w:r>
    </w:p>
    <w:p w14:paraId="3DE90A8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②国民健康保険事業特別会計：全部連結</w:t>
      </w:r>
    </w:p>
    <w:p w14:paraId="3046336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③後期高齢者医療特別会計：全部連結</w:t>
      </w:r>
    </w:p>
    <w:p w14:paraId="102F36D6"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④介護保険事業特別会計：全部連結</w:t>
      </w:r>
    </w:p>
    <w:p w14:paraId="7E577499"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⑤宅地造成事業特別会計：全部連結</w:t>
      </w:r>
    </w:p>
    <w:p w14:paraId="1B49C2A1" w14:textId="5CF7FE9E" w:rsidR="00D661F2" w:rsidRPr="00D661F2" w:rsidRDefault="00D661F2" w:rsidP="007566B8">
      <w:pPr>
        <w:pStyle w:val="Default"/>
        <w:spacing w:after="118"/>
        <w:ind w:firstLineChars="200" w:firstLine="420"/>
        <w:rPr>
          <w:rFonts w:hAnsi="ＭＳ 明朝" w:hint="eastAsia"/>
          <w:sz w:val="21"/>
          <w:szCs w:val="21"/>
        </w:rPr>
      </w:pPr>
      <w:r w:rsidRPr="00D661F2">
        <w:rPr>
          <w:rFonts w:hAnsi="ＭＳ 明朝" w:hint="eastAsia"/>
          <w:sz w:val="21"/>
          <w:szCs w:val="21"/>
        </w:rPr>
        <w:t>⑥水道事業会計：全部連結</w:t>
      </w:r>
    </w:p>
    <w:p w14:paraId="77BC5A8D" w14:textId="004E9D32"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⑦</w:t>
      </w:r>
      <w:r w:rsidR="00D661F2" w:rsidRPr="00D661F2">
        <w:rPr>
          <w:rFonts w:hAnsi="ＭＳ 明朝" w:hint="eastAsia"/>
          <w:sz w:val="21"/>
          <w:szCs w:val="21"/>
        </w:rPr>
        <w:t>下水道事業会計：全部連結</w:t>
      </w:r>
    </w:p>
    <w:p w14:paraId="0FEAB8AE" w14:textId="2AC5FDE4"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⑧</w:t>
      </w:r>
      <w:r w:rsidR="00D661F2" w:rsidRPr="00D661F2">
        <w:rPr>
          <w:rFonts w:hAnsi="ＭＳ 明朝" w:hint="eastAsia"/>
          <w:sz w:val="21"/>
          <w:szCs w:val="21"/>
        </w:rPr>
        <w:t>病院事業会計：全部連結</w:t>
      </w:r>
    </w:p>
    <w:p w14:paraId="3ABB9C97" w14:textId="0FF12E03"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⑨</w:t>
      </w:r>
      <w:r w:rsidR="00D661F2" w:rsidRPr="00D661F2">
        <w:rPr>
          <w:rFonts w:hAnsi="ＭＳ 明朝" w:hint="eastAsia"/>
          <w:sz w:val="21"/>
          <w:szCs w:val="21"/>
        </w:rPr>
        <w:t>新潟県後期高齢者医療広域連合：比例連結（1</w:t>
      </w:r>
      <w:r w:rsidR="00D661F2" w:rsidRPr="00D661F2">
        <w:rPr>
          <w:rFonts w:hAnsi="ＭＳ 明朝"/>
          <w:sz w:val="21"/>
          <w:szCs w:val="21"/>
        </w:rPr>
        <w:t>.</w:t>
      </w:r>
      <w:r>
        <w:rPr>
          <w:rFonts w:hAnsi="ＭＳ 明朝"/>
          <w:sz w:val="21"/>
          <w:szCs w:val="21"/>
        </w:rPr>
        <w:t>69</w:t>
      </w:r>
      <w:r w:rsidR="00D661F2" w:rsidRPr="00D661F2">
        <w:rPr>
          <w:rFonts w:hAnsi="ＭＳ 明朝" w:hint="eastAsia"/>
          <w:sz w:val="21"/>
          <w:szCs w:val="21"/>
        </w:rPr>
        <w:t>％）</w:t>
      </w:r>
    </w:p>
    <w:p w14:paraId="4A731B3B" w14:textId="34E36853"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⑩</w:t>
      </w:r>
      <w:r w:rsidR="00D661F2" w:rsidRPr="00D661F2">
        <w:rPr>
          <w:rFonts w:hAnsi="ＭＳ 明朝" w:hint="eastAsia"/>
          <w:sz w:val="21"/>
          <w:szCs w:val="21"/>
        </w:rPr>
        <w:t>新潟県市町村総合事務組合</w:t>
      </w:r>
      <w:r>
        <w:rPr>
          <w:rFonts w:hAnsi="ＭＳ 明朝" w:hint="eastAsia"/>
          <w:sz w:val="21"/>
          <w:szCs w:val="21"/>
        </w:rPr>
        <w:t>_普通会計</w:t>
      </w:r>
      <w:r w:rsidR="00D661F2" w:rsidRPr="00D661F2">
        <w:rPr>
          <w:rFonts w:hAnsi="ＭＳ 明朝" w:hint="eastAsia"/>
          <w:sz w:val="21"/>
          <w:szCs w:val="21"/>
        </w:rPr>
        <w:t>：比例連結（1</w:t>
      </w:r>
      <w:r w:rsidR="00D661F2" w:rsidRPr="00D661F2">
        <w:rPr>
          <w:rFonts w:hAnsi="ＭＳ 明朝"/>
          <w:sz w:val="21"/>
          <w:szCs w:val="21"/>
        </w:rPr>
        <w:t>.6</w:t>
      </w:r>
      <w:r>
        <w:rPr>
          <w:rFonts w:hAnsi="ＭＳ 明朝"/>
          <w:sz w:val="21"/>
          <w:szCs w:val="21"/>
        </w:rPr>
        <w:t>1</w:t>
      </w:r>
      <w:r w:rsidR="00D661F2" w:rsidRPr="00D661F2">
        <w:rPr>
          <w:rFonts w:hAnsi="ＭＳ 明朝" w:hint="eastAsia"/>
          <w:sz w:val="21"/>
          <w:szCs w:val="21"/>
        </w:rPr>
        <w:t>％）</w:t>
      </w:r>
    </w:p>
    <w:p w14:paraId="4A73D4BD" w14:textId="125E34D9" w:rsidR="007566B8" w:rsidRPr="007566B8" w:rsidRDefault="007566B8" w:rsidP="007566B8">
      <w:pPr>
        <w:pStyle w:val="Default"/>
        <w:spacing w:after="118"/>
        <w:ind w:firstLineChars="200" w:firstLine="420"/>
        <w:rPr>
          <w:rFonts w:hAnsi="ＭＳ 明朝" w:hint="eastAsia"/>
          <w:sz w:val="21"/>
          <w:szCs w:val="21"/>
        </w:rPr>
      </w:pPr>
      <w:r>
        <w:rPr>
          <w:rFonts w:hAnsi="ＭＳ 明朝" w:hint="eastAsia"/>
          <w:sz w:val="21"/>
          <w:szCs w:val="21"/>
        </w:rPr>
        <w:t>⑪</w:t>
      </w:r>
      <w:r w:rsidRPr="00D661F2">
        <w:rPr>
          <w:rFonts w:hAnsi="ＭＳ 明朝" w:hint="eastAsia"/>
          <w:sz w:val="21"/>
          <w:szCs w:val="21"/>
        </w:rPr>
        <w:t>新潟県市町村総合事務組合</w:t>
      </w:r>
      <w:r>
        <w:rPr>
          <w:rFonts w:hAnsi="ＭＳ 明朝" w:hint="eastAsia"/>
          <w:sz w:val="21"/>
          <w:szCs w:val="21"/>
        </w:rPr>
        <w:t>_事業会計</w:t>
      </w:r>
      <w:r w:rsidRPr="00D661F2">
        <w:rPr>
          <w:rFonts w:hAnsi="ＭＳ 明朝" w:hint="eastAsia"/>
          <w:sz w:val="21"/>
          <w:szCs w:val="21"/>
        </w:rPr>
        <w:t>：比例連結（1</w:t>
      </w:r>
      <w:r w:rsidRPr="00D661F2">
        <w:rPr>
          <w:rFonts w:hAnsi="ＭＳ 明朝"/>
          <w:sz w:val="21"/>
          <w:szCs w:val="21"/>
        </w:rPr>
        <w:t>.6</w:t>
      </w:r>
      <w:r>
        <w:rPr>
          <w:rFonts w:hAnsi="ＭＳ 明朝" w:hint="eastAsia"/>
          <w:sz w:val="21"/>
          <w:szCs w:val="21"/>
        </w:rPr>
        <w:t>9</w:t>
      </w:r>
      <w:r w:rsidRPr="00D661F2">
        <w:rPr>
          <w:rFonts w:hAnsi="ＭＳ 明朝" w:hint="eastAsia"/>
          <w:sz w:val="21"/>
          <w:szCs w:val="21"/>
        </w:rPr>
        <w:t>％）</w:t>
      </w:r>
    </w:p>
    <w:p w14:paraId="3CE88020" w14:textId="68FC08D4"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⑫</w:t>
      </w:r>
      <w:r w:rsidR="00D661F2" w:rsidRPr="00D661F2">
        <w:rPr>
          <w:rFonts w:hAnsi="ＭＳ 明朝" w:hint="eastAsia"/>
          <w:sz w:val="21"/>
          <w:szCs w:val="21"/>
        </w:rPr>
        <w:t>新潟県中越福祉事務組合：比例連結（</w:t>
      </w:r>
      <w:r w:rsidR="00ED0609">
        <w:rPr>
          <w:rFonts w:hAnsi="ＭＳ 明朝" w:hint="eastAsia"/>
          <w:sz w:val="21"/>
          <w:szCs w:val="21"/>
        </w:rPr>
        <w:t>24</w:t>
      </w:r>
      <w:r w:rsidR="00D661F2" w:rsidRPr="00D661F2">
        <w:rPr>
          <w:rFonts w:hAnsi="ＭＳ 明朝"/>
          <w:sz w:val="21"/>
          <w:szCs w:val="21"/>
        </w:rPr>
        <w:t>.</w:t>
      </w:r>
      <w:r>
        <w:rPr>
          <w:rFonts w:hAnsi="ＭＳ 明朝"/>
          <w:sz w:val="21"/>
          <w:szCs w:val="21"/>
        </w:rPr>
        <w:t>43</w:t>
      </w:r>
      <w:r w:rsidR="00D661F2" w:rsidRPr="00D661F2">
        <w:rPr>
          <w:rFonts w:hAnsi="ＭＳ 明朝" w:hint="eastAsia"/>
          <w:sz w:val="21"/>
          <w:szCs w:val="21"/>
        </w:rPr>
        <w:t>％）</w:t>
      </w:r>
    </w:p>
    <w:p w14:paraId="3E880F5C" w14:textId="670B45AE"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⑬</w:t>
      </w:r>
      <w:r w:rsidR="00D661F2" w:rsidRPr="00D661F2">
        <w:rPr>
          <w:rFonts w:hAnsi="ＭＳ 明朝" w:hint="eastAsia"/>
          <w:sz w:val="21"/>
          <w:szCs w:val="21"/>
        </w:rPr>
        <w:t>長岡地域土地開発公社：全部連結</w:t>
      </w:r>
    </w:p>
    <w:p w14:paraId="04C21E0F" w14:textId="2552FF4C"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⑭</w:t>
      </w:r>
      <w:r w:rsidR="00D661F2" w:rsidRPr="00D661F2">
        <w:rPr>
          <w:rFonts w:hAnsi="ＭＳ 明朝" w:hint="eastAsia"/>
          <w:sz w:val="21"/>
          <w:szCs w:val="21"/>
        </w:rPr>
        <w:t>一般社団法人見附市観光物産協会：全部連結</w:t>
      </w:r>
    </w:p>
    <w:p w14:paraId="2607CC90" w14:textId="77777777" w:rsidR="00D661F2" w:rsidRPr="007566B8" w:rsidRDefault="00D661F2" w:rsidP="00D661F2">
      <w:pPr>
        <w:pStyle w:val="Default"/>
        <w:rPr>
          <w:rFonts w:hAnsi="ＭＳ 明朝"/>
          <w:sz w:val="21"/>
          <w:szCs w:val="21"/>
        </w:rPr>
      </w:pPr>
    </w:p>
    <w:p w14:paraId="143F831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（２）出納整理期間</w:t>
      </w:r>
    </w:p>
    <w:p w14:paraId="639597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財務書類の作成基準日は、会計年度末（</w:t>
      </w:r>
      <w:r w:rsidRPr="00D661F2">
        <w:rPr>
          <w:rFonts w:hAnsi="ＭＳ 明朝" w:cs="Century" w:hint="eastAsia"/>
          <w:sz w:val="21"/>
          <w:szCs w:val="21"/>
        </w:rPr>
        <w:t>３</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日）ですが、出納整理期間中の現金の</w:t>
      </w:r>
      <w:r w:rsidRPr="00D661F2">
        <w:rPr>
          <w:rFonts w:hAnsi="ＭＳ 明朝" w:hint="eastAsia"/>
          <w:sz w:val="21"/>
          <w:szCs w:val="21"/>
        </w:rPr>
        <w:lastRenderedPageBreak/>
        <w:t>受払い等を終了した後の計数をもって会計年度末の計数としています（地方自治法</w:t>
      </w:r>
      <w:r w:rsidRPr="00D661F2">
        <w:rPr>
          <w:rFonts w:hAnsi="ＭＳ 明朝" w:cs="Century" w:hint="eastAsia"/>
          <w:sz w:val="21"/>
          <w:szCs w:val="21"/>
        </w:rPr>
        <w:t>235</w:t>
      </w:r>
      <w:r w:rsidRPr="00D661F2">
        <w:rPr>
          <w:rFonts w:hAnsi="ＭＳ 明朝" w:hint="eastAsia"/>
          <w:sz w:val="21"/>
          <w:szCs w:val="21"/>
        </w:rPr>
        <w:t>条の</w:t>
      </w:r>
      <w:r w:rsidRPr="00D661F2">
        <w:rPr>
          <w:rFonts w:hAnsi="ＭＳ 明朝" w:cs="Century" w:hint="eastAsia"/>
          <w:sz w:val="21"/>
          <w:szCs w:val="21"/>
        </w:rPr>
        <w:t>５</w:t>
      </w:r>
      <w:r w:rsidRPr="00D661F2">
        <w:rPr>
          <w:rFonts w:hAnsi="ＭＳ 明朝" w:hint="eastAsia"/>
          <w:sz w:val="21"/>
          <w:szCs w:val="21"/>
        </w:rPr>
        <w:t>「普通地方公共団体の出納は、翌年度の</w:t>
      </w:r>
      <w:r w:rsidRPr="00D661F2">
        <w:rPr>
          <w:rFonts w:hAnsi="ＭＳ 明朝" w:cs="Century" w:hint="eastAsia"/>
          <w:sz w:val="21"/>
          <w:szCs w:val="21"/>
        </w:rPr>
        <w:t>５</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日をもって閉鎖する。」）。</w:t>
      </w:r>
    </w:p>
    <w:p w14:paraId="7CF4EEC5" w14:textId="77777777" w:rsidR="00D661F2" w:rsidRPr="00D661F2" w:rsidRDefault="00D661F2" w:rsidP="00D661F2">
      <w:pPr>
        <w:pStyle w:val="Default"/>
        <w:rPr>
          <w:rFonts w:hAnsi="ＭＳ 明朝"/>
          <w:sz w:val="21"/>
          <w:szCs w:val="21"/>
        </w:rPr>
      </w:pPr>
    </w:p>
    <w:p w14:paraId="5B78F34D"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（３）表示単位未満</w:t>
      </w:r>
    </w:p>
    <w:p w14:paraId="4A1AB500" w14:textId="77777777" w:rsidR="00D661F2" w:rsidRPr="00D661F2" w:rsidRDefault="00D661F2" w:rsidP="00D661F2">
      <w:pPr>
        <w:ind w:firstLineChars="200" w:firstLine="420"/>
        <w:rPr>
          <w:rFonts w:ascii="ＭＳ 明朝" w:eastAsia="ＭＳ 明朝" w:hAnsi="ＭＳ 明朝"/>
        </w:rPr>
      </w:pPr>
      <w:r w:rsidRPr="00D661F2">
        <w:rPr>
          <w:rFonts w:ascii="ＭＳ 明朝" w:eastAsia="ＭＳ 明朝" w:hAnsi="ＭＳ 明朝" w:hint="eastAsia"/>
          <w:szCs w:val="21"/>
        </w:rPr>
        <w:t>表示単位未満の金額は四捨五入とし、一部合計値と不一致があります。</w:t>
      </w:r>
    </w:p>
    <w:p w14:paraId="438FB18D" w14:textId="77777777" w:rsidR="00B6372B" w:rsidRPr="00D661F2" w:rsidRDefault="00B6372B"/>
    <w:sectPr w:rsidR="00B6372B" w:rsidRPr="00D66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F2"/>
    <w:rsid w:val="00642B70"/>
    <w:rsid w:val="007566B8"/>
    <w:rsid w:val="00B6372B"/>
    <w:rsid w:val="00D661F2"/>
    <w:rsid w:val="00DE189C"/>
    <w:rsid w:val="00ED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9769"/>
  <w15:chartTrackingRefBased/>
  <w15:docId w15:val="{71732B9C-E9AD-497B-915A-A19613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1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3</cp:revision>
  <dcterms:created xsi:type="dcterms:W3CDTF">2022-03-16T07:05:00Z</dcterms:created>
  <dcterms:modified xsi:type="dcterms:W3CDTF">2023-04-13T22:39:00Z</dcterms:modified>
</cp:coreProperties>
</file>